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_GoBack"/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學習管理平臺使用教學與應用</w:t>
      </w:r>
    </w:p>
    <w:bookmarkEnd w:id="0"/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提供「酷課網路學校」服務，導入新一代互動學習功能於課程現場，提供遠距視訊互動、線上測驗、線上自主學習、線上議題討論等服務，建立完整便利的網路跨校修課學習新管道，突破空間限制，跨校共享學習，讓學生有不同的學習模式，開啟數位學習之風，爰本局為協助推廣，特辦理旨揭線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平臺</w:t>
      </w:r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hyperlink r:id="rId9" w:tgtFrame="_blank" w:history="1">
        <w:r w:rsidRPr="003E7D97">
          <w:rPr>
            <w:rStyle w:val="a6"/>
            <w:rFonts w:ascii="Times New Roman" w:eastAsia="標楷體" w:hAnsi="Times New Roman" w:cs="Times New Roman"/>
            <w:color w:val="1155CC"/>
            <w:shd w:val="clear" w:color="auto" w:fill="FFFFFF"/>
          </w:rPr>
          <w:t>https://tinyurl.com/yxm4purs</w:t>
        </w:r>
      </w:hyperlink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機操作平臺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臺北酷課雲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hyperlink r:id="rId10" w:history="1">
        <w:r w:rsidRPr="003E7D97">
          <w:rPr>
            <w:rStyle w:val="a6"/>
            <w:rFonts w:ascii="Times New Roman" w:eastAsia="標楷體" w:hAnsi="Times New Roman" w:cs="Times New Roman"/>
            <w:szCs w:val="24"/>
          </w:rPr>
          <w:t>https://cooc.tp.edu.tw/</w:t>
        </w:r>
      </w:hyperlink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北酷課雲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高中跨縣跨校選修經驗分享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D5E7" w14:textId="77777777" w:rsidR="001C78F0" w:rsidRDefault="001C78F0" w:rsidP="00FA7EBB">
      <w:pPr>
        <w:spacing w:line="240" w:lineRule="auto"/>
      </w:pPr>
      <w:r>
        <w:separator/>
      </w:r>
    </w:p>
  </w:endnote>
  <w:endnote w:type="continuationSeparator" w:id="0">
    <w:p w14:paraId="5F7A1EEF" w14:textId="77777777" w:rsidR="001C78F0" w:rsidRDefault="001C78F0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8DD3" w14:textId="77777777" w:rsidR="001C78F0" w:rsidRDefault="001C78F0" w:rsidP="00FA7EBB">
      <w:pPr>
        <w:spacing w:line="240" w:lineRule="auto"/>
      </w:pPr>
      <w:r>
        <w:separator/>
      </w:r>
    </w:p>
  </w:footnote>
  <w:footnote w:type="continuationSeparator" w:id="0">
    <w:p w14:paraId="7EED08B8" w14:textId="77777777" w:rsidR="001C78F0" w:rsidRDefault="001C78F0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B4B55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UnresolvedMention">
    <w:name w:val="Unresolved Mention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xm4pu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64A3-7FF0-4A20-974D-5FE5F05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User</cp:lastModifiedBy>
  <cp:revision>2</cp:revision>
  <cp:lastPrinted>2016-10-21T07:54:00Z</cp:lastPrinted>
  <dcterms:created xsi:type="dcterms:W3CDTF">2020-11-14T03:23:00Z</dcterms:created>
  <dcterms:modified xsi:type="dcterms:W3CDTF">2020-11-14T03:23:00Z</dcterms:modified>
</cp:coreProperties>
</file>