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9D1" w:rsidRPr="00C533DC" w:rsidRDefault="001F3796">
      <w:pPr>
        <w:rPr>
          <w:rFonts w:ascii="標楷體" w:eastAsia="標楷體" w:hAnsi="標楷體"/>
          <w:sz w:val="28"/>
        </w:rPr>
      </w:pPr>
      <w:r w:rsidRPr="00C533DC">
        <w:rPr>
          <w:rFonts w:ascii="標楷體" w:eastAsia="標楷體" w:hAnsi="標楷體" w:hint="eastAsia"/>
          <w:sz w:val="28"/>
        </w:rPr>
        <w:t>附件</w:t>
      </w:r>
      <w:r w:rsidR="000E53E9">
        <w:rPr>
          <w:rFonts w:ascii="標楷體" w:eastAsia="標楷體" w:hAnsi="標楷體" w:hint="eastAsia"/>
          <w:sz w:val="28"/>
        </w:rPr>
        <w:t>6</w:t>
      </w:r>
      <w:bookmarkStart w:id="0" w:name="_GoBack"/>
      <w:bookmarkEnd w:id="0"/>
    </w:p>
    <w:tbl>
      <w:tblPr>
        <w:tblStyle w:val="a3"/>
        <w:tblW w:w="10334" w:type="dxa"/>
        <w:jc w:val="center"/>
        <w:tblLook w:val="04A0" w:firstRow="1" w:lastRow="0" w:firstColumn="1" w:lastColumn="0" w:noHBand="0" w:noVBand="1"/>
      </w:tblPr>
      <w:tblGrid>
        <w:gridCol w:w="516"/>
        <w:gridCol w:w="3307"/>
        <w:gridCol w:w="6511"/>
      </w:tblGrid>
      <w:tr w:rsidR="001F3796" w:rsidRPr="001F3796" w:rsidTr="00D60798">
        <w:trPr>
          <w:tblHeader/>
          <w:jc w:val="center"/>
        </w:trPr>
        <w:tc>
          <w:tcPr>
            <w:tcW w:w="10334" w:type="dxa"/>
            <w:gridSpan w:val="3"/>
            <w:shd w:val="clear" w:color="auto" w:fill="D9D9D9" w:themeFill="background1" w:themeFillShade="D9"/>
          </w:tcPr>
          <w:p w:rsidR="001F3796" w:rsidRPr="00D60798" w:rsidRDefault="001F3796" w:rsidP="005F5701">
            <w:pPr>
              <w:jc w:val="center"/>
              <w:rPr>
                <w:rFonts w:ascii="標楷體" w:eastAsia="標楷體" w:hAnsi="標楷體" w:cs="新細明體"/>
                <w:b/>
                <w:kern w:val="0"/>
              </w:rPr>
            </w:pPr>
            <w:r w:rsidRPr="00D60798">
              <w:rPr>
                <w:rFonts w:ascii="標楷體" w:eastAsia="標楷體" w:hAnsi="標楷體" w:cs="新細明體" w:hint="eastAsia"/>
                <w:b/>
                <w:kern w:val="0"/>
                <w:sz w:val="28"/>
              </w:rPr>
              <w:t>桃園市政府</w:t>
            </w:r>
            <w:proofErr w:type="gramStart"/>
            <w:r w:rsidRPr="00D60798">
              <w:rPr>
                <w:rFonts w:ascii="標楷體" w:eastAsia="標楷體" w:hAnsi="標楷體" w:cs="新細明體" w:hint="eastAsia"/>
                <w:b/>
                <w:kern w:val="0"/>
                <w:sz w:val="28"/>
              </w:rPr>
              <w:t>108</w:t>
            </w:r>
            <w:proofErr w:type="gramEnd"/>
            <w:r w:rsidRPr="00D60798">
              <w:rPr>
                <w:rFonts w:ascii="標楷體" w:eastAsia="標楷體" w:hAnsi="標楷體" w:cs="新細明體" w:hint="eastAsia"/>
                <w:b/>
                <w:kern w:val="0"/>
                <w:sz w:val="28"/>
              </w:rPr>
              <w:t>年度兼辦政風業務人員常見問題建議處理方式</w:t>
            </w:r>
            <w:proofErr w:type="gramStart"/>
            <w:r w:rsidRPr="00D60798">
              <w:rPr>
                <w:rFonts w:ascii="標楷體" w:eastAsia="標楷體" w:hAnsi="標楷體" w:cs="新細明體" w:hint="eastAsia"/>
                <w:b/>
                <w:kern w:val="0"/>
                <w:sz w:val="28"/>
              </w:rPr>
              <w:t>彙整</w:t>
            </w:r>
            <w:proofErr w:type="gramEnd"/>
            <w:r w:rsidRPr="00D60798">
              <w:rPr>
                <w:rFonts w:ascii="標楷體" w:eastAsia="標楷體" w:hAnsi="標楷體" w:cs="新細明體" w:hint="eastAsia"/>
                <w:b/>
                <w:kern w:val="0"/>
                <w:sz w:val="28"/>
              </w:rPr>
              <w:t>表</w:t>
            </w:r>
          </w:p>
        </w:tc>
      </w:tr>
      <w:tr w:rsidR="001F3796" w:rsidRPr="001F3796" w:rsidTr="00D60798">
        <w:trPr>
          <w:tblHeader/>
          <w:jc w:val="center"/>
        </w:trPr>
        <w:tc>
          <w:tcPr>
            <w:tcW w:w="516" w:type="dxa"/>
            <w:shd w:val="clear" w:color="auto" w:fill="D9D9D9" w:themeFill="background1" w:themeFillShade="D9"/>
            <w:vAlign w:val="center"/>
          </w:tcPr>
          <w:p w:rsidR="001F3796" w:rsidRPr="001F3796" w:rsidRDefault="001F3796" w:rsidP="005F5701">
            <w:pPr>
              <w:widowControl/>
              <w:spacing w:line="280" w:lineRule="exact"/>
              <w:jc w:val="center"/>
              <w:rPr>
                <w:rFonts w:ascii="標楷體" w:eastAsia="標楷體" w:hAnsi="標楷體" w:cs="新細明體"/>
                <w:kern w:val="0"/>
              </w:rPr>
            </w:pPr>
            <w:r w:rsidRPr="001F3796">
              <w:rPr>
                <w:rFonts w:ascii="標楷體" w:eastAsia="標楷體" w:hAnsi="標楷體" w:cs="新細明體" w:hint="eastAsia"/>
                <w:kern w:val="0"/>
              </w:rPr>
              <w:t>序號</w:t>
            </w:r>
          </w:p>
        </w:tc>
        <w:tc>
          <w:tcPr>
            <w:tcW w:w="3307" w:type="dxa"/>
            <w:shd w:val="clear" w:color="auto" w:fill="D9D9D9" w:themeFill="background1" w:themeFillShade="D9"/>
            <w:vAlign w:val="center"/>
          </w:tcPr>
          <w:p w:rsidR="001F3796" w:rsidRPr="001F3796" w:rsidRDefault="001F3796" w:rsidP="005F5701">
            <w:pPr>
              <w:spacing w:line="280" w:lineRule="exact"/>
              <w:jc w:val="center"/>
              <w:rPr>
                <w:rFonts w:ascii="標楷體" w:eastAsia="標楷體" w:hAnsi="標楷體" w:cs="新細明體"/>
                <w:kern w:val="0"/>
              </w:rPr>
            </w:pPr>
            <w:r w:rsidRPr="001F3796">
              <w:rPr>
                <w:rFonts w:ascii="標楷體" w:eastAsia="標楷體" w:hAnsi="標楷體" w:cs="新細明體" w:hint="eastAsia"/>
                <w:kern w:val="0"/>
              </w:rPr>
              <w:t>問題</w:t>
            </w:r>
          </w:p>
        </w:tc>
        <w:tc>
          <w:tcPr>
            <w:tcW w:w="6511" w:type="dxa"/>
            <w:shd w:val="clear" w:color="auto" w:fill="D9D9D9" w:themeFill="background1" w:themeFillShade="D9"/>
            <w:vAlign w:val="center"/>
          </w:tcPr>
          <w:p w:rsidR="001F3796" w:rsidRPr="001F3796" w:rsidRDefault="001F3796" w:rsidP="005F5701">
            <w:pPr>
              <w:spacing w:line="280" w:lineRule="exact"/>
              <w:jc w:val="center"/>
              <w:rPr>
                <w:rFonts w:ascii="標楷體" w:eastAsia="標楷體" w:hAnsi="標楷體" w:cs="新細明體"/>
                <w:kern w:val="0"/>
              </w:rPr>
            </w:pPr>
            <w:r w:rsidRPr="001F3796">
              <w:rPr>
                <w:rFonts w:ascii="標楷體" w:eastAsia="標楷體" w:hAnsi="標楷體" w:cs="新細明體" w:hint="eastAsia"/>
                <w:kern w:val="0"/>
              </w:rPr>
              <w:t>建議處理方式</w:t>
            </w:r>
          </w:p>
        </w:tc>
      </w:tr>
      <w:tr w:rsidR="001F3796" w:rsidRPr="001F3796" w:rsidTr="00D60798">
        <w:trPr>
          <w:jc w:val="center"/>
        </w:trPr>
        <w:tc>
          <w:tcPr>
            <w:tcW w:w="516" w:type="dxa"/>
            <w:vAlign w:val="center"/>
          </w:tcPr>
          <w:p w:rsidR="001F3796" w:rsidRPr="001F3796" w:rsidRDefault="001F3796" w:rsidP="005F5701">
            <w:pPr>
              <w:jc w:val="center"/>
              <w:rPr>
                <w:rFonts w:ascii="標楷體" w:eastAsia="標楷體" w:hAnsi="標楷體"/>
              </w:rPr>
            </w:pPr>
            <w:r w:rsidRPr="001F3796">
              <w:rPr>
                <w:rFonts w:ascii="標楷體" w:eastAsia="標楷體" w:hAnsi="標楷體" w:hint="eastAsia"/>
              </w:rPr>
              <w:t>4</w:t>
            </w:r>
          </w:p>
        </w:tc>
        <w:tc>
          <w:tcPr>
            <w:tcW w:w="3307" w:type="dxa"/>
          </w:tcPr>
          <w:p w:rsidR="00370643" w:rsidRDefault="001F3796" w:rsidP="005F5701">
            <w:pPr>
              <w:spacing w:line="460" w:lineRule="exact"/>
              <w:jc w:val="both"/>
              <w:rPr>
                <w:rFonts w:ascii="標楷體" w:eastAsia="標楷體" w:hAnsi="標楷體"/>
                <w:strike/>
              </w:rPr>
            </w:pPr>
            <w:r w:rsidRPr="001F3796">
              <w:rPr>
                <w:rFonts w:ascii="標楷體" w:eastAsia="標楷體" w:hAnsi="標楷體" w:hint="eastAsia"/>
              </w:rPr>
              <w:t>家長贈送教師柚子、月餅或500元以上之禮盒或水果，是否可收受?退還相關禮品後，除依規定登錄陳核外，是否得以掛號單據作為佐證資料？</w:t>
            </w:r>
          </w:p>
          <w:p w:rsidR="00370643" w:rsidRPr="00370643" w:rsidRDefault="00370643" w:rsidP="00370643">
            <w:pPr>
              <w:rPr>
                <w:rFonts w:ascii="標楷體" w:eastAsia="標楷體" w:hAnsi="標楷體"/>
              </w:rPr>
            </w:pPr>
          </w:p>
          <w:p w:rsidR="00370643" w:rsidRPr="00370643" w:rsidRDefault="00370643" w:rsidP="00370643">
            <w:pPr>
              <w:rPr>
                <w:rFonts w:ascii="標楷體" w:eastAsia="標楷體" w:hAnsi="標楷體"/>
              </w:rPr>
            </w:pPr>
          </w:p>
          <w:p w:rsidR="00370643" w:rsidRPr="00370643" w:rsidRDefault="00370643" w:rsidP="00370643">
            <w:pPr>
              <w:rPr>
                <w:rFonts w:ascii="標楷體" w:eastAsia="標楷體" w:hAnsi="標楷體"/>
              </w:rPr>
            </w:pPr>
          </w:p>
          <w:p w:rsidR="00370643" w:rsidRPr="00370643" w:rsidRDefault="00370643" w:rsidP="00370643">
            <w:pPr>
              <w:rPr>
                <w:rFonts w:ascii="標楷體" w:eastAsia="標楷體" w:hAnsi="標楷體"/>
              </w:rPr>
            </w:pPr>
          </w:p>
          <w:p w:rsidR="00370643" w:rsidRPr="00370643" w:rsidRDefault="00370643" w:rsidP="00370643">
            <w:pPr>
              <w:rPr>
                <w:rFonts w:ascii="標楷體" w:eastAsia="標楷體" w:hAnsi="標楷體"/>
              </w:rPr>
            </w:pPr>
          </w:p>
          <w:p w:rsidR="001F3796" w:rsidRPr="00370643" w:rsidRDefault="001F3796" w:rsidP="00370643">
            <w:pPr>
              <w:jc w:val="center"/>
              <w:rPr>
                <w:rFonts w:ascii="標楷體" w:eastAsia="標楷體" w:hAnsi="標楷體"/>
              </w:rPr>
            </w:pPr>
          </w:p>
        </w:tc>
        <w:tc>
          <w:tcPr>
            <w:tcW w:w="6511" w:type="dxa"/>
          </w:tcPr>
          <w:p w:rsidR="001F3796" w:rsidRPr="001F3796" w:rsidRDefault="001F3796" w:rsidP="005F5701">
            <w:pPr>
              <w:spacing w:line="460" w:lineRule="exact"/>
              <w:ind w:left="422" w:hangingChars="176" w:hanging="422"/>
              <w:jc w:val="both"/>
              <w:rPr>
                <w:rFonts w:ascii="標楷體" w:eastAsia="標楷體" w:hAnsi="標楷體"/>
              </w:rPr>
            </w:pPr>
            <w:r w:rsidRPr="001F3796">
              <w:rPr>
                <w:rFonts w:ascii="標楷體" w:eastAsia="標楷體" w:hAnsi="標楷體" w:hint="eastAsia"/>
              </w:rPr>
              <w:t>一、依本府員工廉政倫理規範（下稱本規範）第2點，本府員工係指服務於本府及所屬各機關、學校及事業機構受有薪俸之人員。</w:t>
            </w:r>
          </w:p>
          <w:p w:rsidR="001F3796" w:rsidRPr="001F3796" w:rsidRDefault="001F3796" w:rsidP="005F5701">
            <w:pPr>
              <w:spacing w:line="460" w:lineRule="exact"/>
              <w:ind w:left="422" w:hangingChars="176" w:hanging="422"/>
              <w:jc w:val="both"/>
              <w:rPr>
                <w:rFonts w:ascii="標楷體" w:eastAsia="標楷體" w:hAnsi="標楷體"/>
              </w:rPr>
            </w:pPr>
            <w:r w:rsidRPr="001F3796">
              <w:rPr>
                <w:rFonts w:ascii="標楷體" w:eastAsia="標楷體" w:hAnsi="標楷體" w:hint="eastAsia"/>
              </w:rPr>
              <w:t>二、依本規範第</w:t>
            </w:r>
            <w:r w:rsidRPr="001F3796">
              <w:rPr>
                <w:rFonts w:ascii="標楷體" w:eastAsia="標楷體" w:hAnsi="標楷體"/>
              </w:rPr>
              <w:t>4</w:t>
            </w:r>
            <w:r w:rsidRPr="001F3796">
              <w:rPr>
                <w:rFonts w:ascii="標楷體" w:eastAsia="標楷體" w:hAnsi="標楷體" w:hint="eastAsia"/>
              </w:rPr>
              <w:t>點第</w:t>
            </w:r>
            <w:r w:rsidRPr="001F3796">
              <w:rPr>
                <w:rFonts w:ascii="標楷體" w:eastAsia="標楷體" w:hAnsi="標楷體"/>
              </w:rPr>
              <w:t>3</w:t>
            </w:r>
            <w:r w:rsidRPr="001F3796">
              <w:rPr>
                <w:rFonts w:ascii="標楷體" w:eastAsia="標楷體" w:hAnsi="標楷體" w:hint="eastAsia"/>
              </w:rPr>
              <w:t>款規定，本府員工對於有職務上利害關係人所為饋贈財物之行為，除係偶發、無影響特定權利義務之虞，且受贈之財物市價在新臺幣（下同）</w:t>
            </w:r>
            <w:r w:rsidRPr="001F3796">
              <w:rPr>
                <w:rFonts w:ascii="標楷體" w:eastAsia="標楷體" w:hAnsi="標楷體"/>
              </w:rPr>
              <w:t>500</w:t>
            </w:r>
            <w:r w:rsidRPr="001F3796">
              <w:rPr>
                <w:rFonts w:ascii="標楷體" w:eastAsia="標楷體" w:hAnsi="標楷體" w:hint="eastAsia"/>
              </w:rPr>
              <w:t>元以下；或對本機關（構）內多數人為餽贈，其市價總額在</w:t>
            </w:r>
            <w:r w:rsidRPr="001F3796">
              <w:rPr>
                <w:rFonts w:ascii="標楷體" w:eastAsia="標楷體" w:hAnsi="標楷體"/>
              </w:rPr>
              <w:t>1,000</w:t>
            </w:r>
            <w:r w:rsidRPr="001F3796">
              <w:rPr>
                <w:rFonts w:ascii="標楷體" w:eastAsia="標楷體" w:hAnsi="標楷體" w:hint="eastAsia"/>
              </w:rPr>
              <w:t>元以下，始得受贈。因此如對本府員工贈送柚子、月餅或水果等，</w:t>
            </w:r>
            <w:r w:rsidRPr="001F3796">
              <w:rPr>
                <w:rFonts w:ascii="標楷體" w:eastAsia="標楷體" w:hAnsi="標楷體" w:hint="eastAsia"/>
                <w:u w:val="single"/>
              </w:rPr>
              <w:t>如市價超過</w:t>
            </w:r>
            <w:r w:rsidRPr="001F3796">
              <w:rPr>
                <w:rFonts w:ascii="標楷體" w:eastAsia="標楷體" w:hAnsi="標楷體"/>
                <w:u w:val="single"/>
              </w:rPr>
              <w:t>500</w:t>
            </w:r>
            <w:r w:rsidRPr="001F3796">
              <w:rPr>
                <w:rFonts w:ascii="標楷體" w:eastAsia="標楷體" w:hAnsi="標楷體" w:hint="eastAsia"/>
                <w:u w:val="single"/>
              </w:rPr>
              <w:t>元，依前揭規定，應予拒絕或退還。如無法退還或不便收受時</w:t>
            </w:r>
            <w:r w:rsidRPr="001F3796">
              <w:rPr>
                <w:rFonts w:ascii="標楷體" w:eastAsia="標楷體" w:hAnsi="標楷體" w:hint="eastAsia"/>
              </w:rPr>
              <w:t>，得由政風機構或兼辦政風業務人員依本規範第</w:t>
            </w:r>
            <w:r w:rsidRPr="001F3796">
              <w:rPr>
                <w:rFonts w:ascii="標楷體" w:eastAsia="標楷體" w:hAnsi="標楷體"/>
              </w:rPr>
              <w:t>5</w:t>
            </w:r>
            <w:r w:rsidRPr="001F3796">
              <w:rPr>
                <w:rFonts w:ascii="標楷體" w:eastAsia="標楷體" w:hAnsi="標楷體" w:hint="eastAsia"/>
              </w:rPr>
              <w:t>點第</w:t>
            </w:r>
            <w:r w:rsidRPr="001F3796">
              <w:rPr>
                <w:rFonts w:ascii="標楷體" w:eastAsia="標楷體" w:hAnsi="標楷體"/>
              </w:rPr>
              <w:t>2</w:t>
            </w:r>
            <w:r w:rsidRPr="001F3796">
              <w:rPr>
                <w:rFonts w:ascii="標楷體" w:eastAsia="標楷體" w:hAnsi="標楷體" w:hint="eastAsia"/>
              </w:rPr>
              <w:t>項規定，視受贈財物之性質及價值，提出付費收受、歸公、轉贈慈善機構或其他適當建議，簽報機關首長核定後執行。</w:t>
            </w:r>
          </w:p>
          <w:p w:rsidR="001F3796" w:rsidRPr="001F3796" w:rsidRDefault="001F3796" w:rsidP="005F5701">
            <w:pPr>
              <w:spacing w:line="460" w:lineRule="exact"/>
              <w:ind w:left="422" w:hangingChars="176" w:hanging="422"/>
              <w:jc w:val="both"/>
              <w:rPr>
                <w:rFonts w:ascii="標楷體" w:eastAsia="標楷體" w:hAnsi="標楷體"/>
              </w:rPr>
            </w:pPr>
            <w:r w:rsidRPr="001F3796">
              <w:rPr>
                <w:rFonts w:ascii="標楷體" w:eastAsia="標楷體" w:hAnsi="標楷體" w:hint="eastAsia"/>
              </w:rPr>
              <w:t>三、退還相關禮品若無相關收據，得將雙掛號回執或掛號相關單據等附在登錄表後作為佐證。</w:t>
            </w:r>
          </w:p>
        </w:tc>
      </w:tr>
      <w:tr w:rsidR="001F3796" w:rsidRPr="001F3796" w:rsidTr="00D60798">
        <w:trPr>
          <w:jc w:val="center"/>
        </w:trPr>
        <w:tc>
          <w:tcPr>
            <w:tcW w:w="516" w:type="dxa"/>
            <w:vAlign w:val="center"/>
          </w:tcPr>
          <w:p w:rsidR="001F3796" w:rsidRPr="001F3796" w:rsidRDefault="001F3796" w:rsidP="005F5701">
            <w:pPr>
              <w:jc w:val="center"/>
              <w:rPr>
                <w:rFonts w:ascii="標楷體" w:eastAsia="標楷體" w:hAnsi="標楷體"/>
              </w:rPr>
            </w:pPr>
            <w:r w:rsidRPr="001F3796">
              <w:rPr>
                <w:rFonts w:ascii="標楷體" w:eastAsia="標楷體" w:hAnsi="標楷體" w:hint="eastAsia"/>
              </w:rPr>
              <w:t>5</w:t>
            </w:r>
          </w:p>
        </w:tc>
        <w:tc>
          <w:tcPr>
            <w:tcW w:w="3307" w:type="dxa"/>
          </w:tcPr>
          <w:p w:rsidR="001F3796" w:rsidRPr="001F3796" w:rsidRDefault="001F3796" w:rsidP="005F5701">
            <w:pPr>
              <w:spacing w:line="460" w:lineRule="exact"/>
              <w:jc w:val="both"/>
              <w:rPr>
                <w:rFonts w:ascii="標楷體" w:eastAsia="標楷體" w:hAnsi="標楷體"/>
              </w:rPr>
            </w:pPr>
            <w:r w:rsidRPr="001F3796">
              <w:rPr>
                <w:rFonts w:ascii="標楷體" w:eastAsia="標楷體" w:hAnsi="標楷體" w:hint="eastAsia"/>
              </w:rPr>
              <w:t>學校或機關間送禮，是否需登錄?長官送禮給部屬，是否須登錄？</w:t>
            </w:r>
            <w:r w:rsidRPr="001F3796">
              <w:rPr>
                <w:rFonts w:ascii="標楷體" w:eastAsia="標楷體" w:hAnsi="標楷體"/>
              </w:rPr>
              <w:t xml:space="preserve"> </w:t>
            </w:r>
          </w:p>
        </w:tc>
        <w:tc>
          <w:tcPr>
            <w:tcW w:w="6511" w:type="dxa"/>
          </w:tcPr>
          <w:p w:rsidR="001F3796" w:rsidRPr="001F3796" w:rsidRDefault="001F3796" w:rsidP="005F5701">
            <w:pPr>
              <w:spacing w:line="460" w:lineRule="exact"/>
              <w:ind w:left="422" w:hangingChars="176" w:hanging="422"/>
              <w:jc w:val="both"/>
              <w:rPr>
                <w:rFonts w:ascii="標楷體" w:eastAsia="標楷體" w:hAnsi="標楷體"/>
              </w:rPr>
            </w:pPr>
            <w:r w:rsidRPr="001F3796">
              <w:rPr>
                <w:rFonts w:ascii="標楷體" w:eastAsia="標楷體" w:hAnsi="標楷體" w:hint="eastAsia"/>
              </w:rPr>
              <w:t>一、依本府員工廉政倫理規範（下稱本規範）係規範本府員工之個人行為，政府機關（構）間之互動，並非本規範拘束之行為，故學校或機關間送禮，尚與本規範無涉。</w:t>
            </w:r>
          </w:p>
          <w:p w:rsidR="001F3796" w:rsidRPr="001F3796" w:rsidRDefault="001F3796" w:rsidP="005F5701">
            <w:pPr>
              <w:spacing w:line="460" w:lineRule="exact"/>
              <w:ind w:left="422" w:hangingChars="176" w:hanging="422"/>
              <w:jc w:val="both"/>
              <w:rPr>
                <w:rFonts w:ascii="標楷體" w:eastAsia="標楷體" w:hAnsi="標楷體"/>
              </w:rPr>
            </w:pPr>
            <w:r w:rsidRPr="001F3796">
              <w:rPr>
                <w:rFonts w:ascii="標楷體" w:eastAsia="標楷體" w:hAnsi="標楷體" w:hint="eastAsia"/>
              </w:rPr>
              <w:t>二、查本規範第4點第2款規定，公務員不得要求、期約或收受與其職務有利害關係者餽贈財物，但對於長官對部屬之獎勵、救助或慰問，且係偶發且無影響特定權利義務之虞時，始得受贈，且依本規範第5點第1項第1款規定，無需登錄。</w:t>
            </w:r>
          </w:p>
        </w:tc>
      </w:tr>
      <w:tr w:rsidR="001F3796" w:rsidRPr="001F3796" w:rsidTr="00D60798">
        <w:trPr>
          <w:jc w:val="center"/>
        </w:trPr>
        <w:tc>
          <w:tcPr>
            <w:tcW w:w="516" w:type="dxa"/>
            <w:vAlign w:val="center"/>
          </w:tcPr>
          <w:p w:rsidR="001F3796" w:rsidRPr="001F3796" w:rsidRDefault="001F3796" w:rsidP="005F5701">
            <w:pPr>
              <w:jc w:val="center"/>
              <w:rPr>
                <w:rFonts w:ascii="標楷體" w:eastAsia="標楷體" w:hAnsi="標楷體"/>
              </w:rPr>
            </w:pPr>
            <w:r w:rsidRPr="001F3796">
              <w:rPr>
                <w:rFonts w:ascii="標楷體" w:eastAsia="標楷體" w:hAnsi="標楷體" w:hint="eastAsia"/>
              </w:rPr>
              <w:t>7</w:t>
            </w:r>
          </w:p>
        </w:tc>
        <w:tc>
          <w:tcPr>
            <w:tcW w:w="3307" w:type="dxa"/>
          </w:tcPr>
          <w:p w:rsidR="001F3796" w:rsidRPr="001F3796" w:rsidRDefault="001F3796" w:rsidP="005F5701">
            <w:pPr>
              <w:spacing w:line="460" w:lineRule="exact"/>
              <w:jc w:val="both"/>
              <w:rPr>
                <w:rFonts w:ascii="標楷體" w:eastAsia="標楷體" w:hAnsi="標楷體"/>
              </w:rPr>
            </w:pPr>
            <w:r w:rsidRPr="001F3796">
              <w:rPr>
                <w:rFonts w:ascii="標楷體" w:eastAsia="標楷體" w:hAnsi="標楷體" w:hint="eastAsia"/>
              </w:rPr>
              <w:t>學校設有音樂廳，遇有私人團體租借場地辦理活動亦有一定的收費標準，惟活動結束後常會碰到租借團體的禮金、水果等餽贈，請問該如何處理?</w:t>
            </w:r>
          </w:p>
        </w:tc>
        <w:tc>
          <w:tcPr>
            <w:tcW w:w="6511" w:type="dxa"/>
          </w:tcPr>
          <w:p w:rsidR="00D60798" w:rsidRPr="00D60798" w:rsidRDefault="001F3796" w:rsidP="00D60798">
            <w:pPr>
              <w:pStyle w:val="a8"/>
              <w:numPr>
                <w:ilvl w:val="0"/>
                <w:numId w:val="1"/>
              </w:numPr>
              <w:spacing w:line="460" w:lineRule="exact"/>
              <w:ind w:leftChars="0"/>
              <w:jc w:val="both"/>
              <w:rPr>
                <w:rFonts w:ascii="標楷體" w:eastAsia="標楷體" w:hAnsi="標楷體"/>
              </w:rPr>
            </w:pPr>
            <w:r w:rsidRPr="00D60798">
              <w:rPr>
                <w:rFonts w:ascii="標楷體" w:eastAsia="標楷體" w:hAnsi="標楷體" w:hint="eastAsia"/>
              </w:rPr>
              <w:t>查本府員工廉政倫理規範（下稱本規範）第</w:t>
            </w:r>
            <w:r w:rsidRPr="00D60798">
              <w:rPr>
                <w:rFonts w:ascii="標楷體" w:eastAsia="標楷體" w:hAnsi="標楷體"/>
              </w:rPr>
              <w:t>2</w:t>
            </w:r>
            <w:r w:rsidRPr="00D60798">
              <w:rPr>
                <w:rFonts w:ascii="標楷體" w:eastAsia="標楷體" w:hAnsi="標楷體" w:hint="eastAsia"/>
              </w:rPr>
              <w:t>點第</w:t>
            </w:r>
            <w:r w:rsidRPr="00D60798">
              <w:rPr>
                <w:rFonts w:ascii="標楷體" w:eastAsia="標楷體" w:hAnsi="標楷體"/>
              </w:rPr>
              <w:t>2</w:t>
            </w:r>
            <w:r w:rsidRPr="00D60798">
              <w:rPr>
                <w:rFonts w:ascii="標楷體" w:eastAsia="標楷體" w:hAnsi="標楷體" w:hint="eastAsia"/>
              </w:rPr>
              <w:t>款第</w:t>
            </w:r>
            <w:r w:rsidRPr="00D60798">
              <w:rPr>
                <w:rFonts w:ascii="標楷體" w:eastAsia="標楷體" w:hAnsi="標楷體"/>
              </w:rPr>
              <w:t>3</w:t>
            </w:r>
            <w:r w:rsidRPr="00D60798">
              <w:rPr>
                <w:rFonts w:ascii="標楷體" w:eastAsia="標楷體" w:hAnsi="標楷體" w:hint="eastAsia"/>
              </w:rPr>
              <w:t>目規定，個人、法人、團體或其他單位，如因公務員服務機關（構）所為之決定，將遭受有利或不利之影響時，則其與公務員之間存在職務上利害關係。</w:t>
            </w:r>
          </w:p>
          <w:p w:rsidR="001F3796" w:rsidRPr="001F3796" w:rsidRDefault="001F3796" w:rsidP="005F5701">
            <w:pPr>
              <w:spacing w:line="460" w:lineRule="exact"/>
              <w:ind w:left="422" w:hangingChars="176" w:hanging="422"/>
              <w:jc w:val="both"/>
              <w:rPr>
                <w:rFonts w:ascii="標楷體" w:eastAsia="標楷體" w:hAnsi="標楷體"/>
              </w:rPr>
            </w:pPr>
            <w:r w:rsidRPr="001F3796">
              <w:rPr>
                <w:rFonts w:ascii="標楷體" w:eastAsia="標楷體" w:hAnsi="標楷體" w:hint="eastAsia"/>
              </w:rPr>
              <w:t>二、私人團體雖係於活動結束後饋贈財物，惟饋贈之時間點</w:t>
            </w:r>
            <w:r w:rsidRPr="001F3796">
              <w:rPr>
                <w:rFonts w:ascii="標楷體" w:eastAsia="標楷體" w:hAnsi="標楷體" w:hint="eastAsia"/>
              </w:rPr>
              <w:lastRenderedPageBreak/>
              <w:t>與活動緊接，且活動後尚有場地復原等相關問題，相關人員仍不宜收受，並依本規範第5點第1項第1款規定辦理。</w:t>
            </w:r>
          </w:p>
        </w:tc>
      </w:tr>
      <w:tr w:rsidR="001F3796" w:rsidRPr="001F3796" w:rsidTr="00D60798">
        <w:trPr>
          <w:jc w:val="center"/>
        </w:trPr>
        <w:tc>
          <w:tcPr>
            <w:tcW w:w="516" w:type="dxa"/>
            <w:vAlign w:val="center"/>
          </w:tcPr>
          <w:p w:rsidR="001F3796" w:rsidRPr="001F3796" w:rsidRDefault="001F3796" w:rsidP="005F5701">
            <w:pPr>
              <w:jc w:val="center"/>
              <w:rPr>
                <w:rFonts w:ascii="標楷體" w:eastAsia="標楷體" w:hAnsi="標楷體"/>
              </w:rPr>
            </w:pPr>
            <w:r w:rsidRPr="001F3796">
              <w:rPr>
                <w:rFonts w:ascii="標楷體" w:eastAsia="標楷體" w:hAnsi="標楷體" w:hint="eastAsia"/>
              </w:rPr>
              <w:lastRenderedPageBreak/>
              <w:t>8</w:t>
            </w:r>
          </w:p>
        </w:tc>
        <w:tc>
          <w:tcPr>
            <w:tcW w:w="3307" w:type="dxa"/>
          </w:tcPr>
          <w:p w:rsidR="001F3796" w:rsidRPr="001F3796" w:rsidRDefault="001F3796" w:rsidP="005F5701">
            <w:pPr>
              <w:spacing w:line="460" w:lineRule="exact"/>
              <w:jc w:val="both"/>
              <w:rPr>
                <w:rFonts w:ascii="標楷體" w:eastAsia="標楷體" w:hAnsi="標楷體"/>
              </w:rPr>
            </w:pPr>
            <w:r w:rsidRPr="001F3796">
              <w:rPr>
                <w:rFonts w:ascii="標楷體" w:eastAsia="標楷體" w:hAnsi="標楷體" w:hint="eastAsia"/>
              </w:rPr>
              <w:t>機關首長因子女結婚向部屬同仁發放喜帖邀請參加喜宴，則該首長得否收受部屬同仁致贈之禮金？</w:t>
            </w:r>
          </w:p>
        </w:tc>
        <w:tc>
          <w:tcPr>
            <w:tcW w:w="6511" w:type="dxa"/>
          </w:tcPr>
          <w:p w:rsidR="001F3796" w:rsidRPr="001F3796" w:rsidRDefault="001F3796" w:rsidP="005F5701">
            <w:pPr>
              <w:spacing w:line="460" w:lineRule="exact"/>
              <w:jc w:val="both"/>
              <w:rPr>
                <w:rFonts w:ascii="標楷體" w:eastAsia="標楷體" w:hAnsi="標楷體"/>
              </w:rPr>
            </w:pPr>
            <w:r w:rsidRPr="001F3796">
              <w:rPr>
                <w:rFonts w:ascii="標楷體" w:eastAsia="標楷體" w:hAnsi="標楷體" w:hint="eastAsia"/>
              </w:rPr>
              <w:t>可以收受。依本府員工廉政倫理規範第4點，機關首長與部屬</w:t>
            </w:r>
            <w:proofErr w:type="gramStart"/>
            <w:r w:rsidRPr="001F3796">
              <w:rPr>
                <w:rFonts w:ascii="標楷體" w:eastAsia="標楷體" w:hAnsi="標楷體" w:hint="eastAsia"/>
              </w:rPr>
              <w:t>同仁間雖具有</w:t>
            </w:r>
            <w:proofErr w:type="gramEnd"/>
            <w:r w:rsidRPr="001F3796">
              <w:rPr>
                <w:rFonts w:ascii="標楷體" w:eastAsia="標楷體" w:hAnsi="標楷體" w:hint="eastAsia"/>
              </w:rPr>
              <w:t>職務上利害關係，然部屬同仁因受邀參加喜宴所致贈之禮金，屬例外規定，惟不可超過正常社交禮俗所訂新臺幣3,000元。若金額偏高，則該首長應予拒絕或退還，並知會政風單位。</w:t>
            </w:r>
          </w:p>
        </w:tc>
      </w:tr>
      <w:tr w:rsidR="001F3796" w:rsidRPr="001F3796" w:rsidTr="00D60798">
        <w:trPr>
          <w:jc w:val="center"/>
        </w:trPr>
        <w:tc>
          <w:tcPr>
            <w:tcW w:w="516" w:type="dxa"/>
            <w:vAlign w:val="center"/>
          </w:tcPr>
          <w:p w:rsidR="001F3796" w:rsidRPr="001F3796" w:rsidRDefault="001F3796" w:rsidP="005F5701">
            <w:pPr>
              <w:jc w:val="center"/>
              <w:rPr>
                <w:rFonts w:ascii="標楷體" w:eastAsia="標楷體" w:hAnsi="標楷體"/>
              </w:rPr>
            </w:pPr>
            <w:r w:rsidRPr="001F3796">
              <w:rPr>
                <w:rFonts w:ascii="標楷體" w:eastAsia="標楷體" w:hAnsi="標楷體" w:hint="eastAsia"/>
              </w:rPr>
              <w:t>9</w:t>
            </w:r>
          </w:p>
        </w:tc>
        <w:tc>
          <w:tcPr>
            <w:tcW w:w="3307" w:type="dxa"/>
          </w:tcPr>
          <w:p w:rsidR="001F3796" w:rsidRPr="001F3796" w:rsidRDefault="001F3796" w:rsidP="005F5701">
            <w:pPr>
              <w:spacing w:line="460" w:lineRule="exact"/>
              <w:jc w:val="both"/>
              <w:rPr>
                <w:rFonts w:ascii="標楷體" w:eastAsia="標楷體" w:hAnsi="標楷體"/>
              </w:rPr>
            </w:pPr>
            <w:r w:rsidRPr="001F3796">
              <w:rPr>
                <w:rFonts w:ascii="標楷體" w:eastAsia="標楷體" w:hAnsi="標楷體" w:hint="eastAsia"/>
              </w:rPr>
              <w:t>機關長官</w:t>
            </w:r>
            <w:proofErr w:type="gramStart"/>
            <w:r w:rsidRPr="001F3796">
              <w:rPr>
                <w:rFonts w:ascii="標楷體" w:eastAsia="標楷體" w:hAnsi="標楷體" w:hint="eastAsia"/>
              </w:rPr>
              <w:t>陞遷時</w:t>
            </w:r>
            <w:proofErr w:type="gramEnd"/>
            <w:r w:rsidRPr="001F3796">
              <w:rPr>
                <w:rFonts w:ascii="標楷體" w:eastAsia="標楷體" w:hAnsi="標楷體" w:hint="eastAsia"/>
              </w:rPr>
              <w:t>，機關同仁基於情誼聯名購買蘭花一盆表示祝賀，該長官得否收受？</w:t>
            </w:r>
          </w:p>
        </w:tc>
        <w:tc>
          <w:tcPr>
            <w:tcW w:w="6511" w:type="dxa"/>
          </w:tcPr>
          <w:p w:rsidR="001F3796" w:rsidRPr="001F3796" w:rsidRDefault="001F3796" w:rsidP="005F5701">
            <w:pPr>
              <w:spacing w:line="460" w:lineRule="exact"/>
              <w:jc w:val="both"/>
              <w:rPr>
                <w:rFonts w:ascii="標楷體" w:eastAsia="標楷體" w:hAnsi="標楷體"/>
              </w:rPr>
            </w:pPr>
            <w:r w:rsidRPr="001F3796">
              <w:rPr>
                <w:rFonts w:ascii="標楷體" w:eastAsia="標楷體" w:hAnsi="標楷體" w:hint="eastAsia"/>
              </w:rPr>
              <w:t>原則上可以收受。依本府員工廉政倫理規範第4點，機關首長與部屬</w:t>
            </w:r>
            <w:proofErr w:type="gramStart"/>
            <w:r w:rsidRPr="001F3796">
              <w:rPr>
                <w:rFonts w:ascii="標楷體" w:eastAsia="標楷體" w:hAnsi="標楷體" w:hint="eastAsia"/>
              </w:rPr>
              <w:t>同仁間雖具有</w:t>
            </w:r>
            <w:proofErr w:type="gramEnd"/>
            <w:r w:rsidRPr="001F3796">
              <w:rPr>
                <w:rFonts w:ascii="標楷體" w:eastAsia="標楷體" w:hAnsi="標楷體" w:hint="eastAsia"/>
              </w:rPr>
              <w:t>職務上利害關係，惟因就職、</w:t>
            </w:r>
            <w:proofErr w:type="gramStart"/>
            <w:r w:rsidRPr="001F3796">
              <w:rPr>
                <w:rFonts w:ascii="標楷體" w:eastAsia="標楷體" w:hAnsi="標楷體" w:hint="eastAsia"/>
              </w:rPr>
              <w:t>陞遷</w:t>
            </w:r>
            <w:proofErr w:type="gramEnd"/>
            <w:r w:rsidRPr="001F3796">
              <w:rPr>
                <w:rFonts w:ascii="標楷體" w:eastAsia="標楷體" w:hAnsi="標楷體" w:hint="eastAsia"/>
              </w:rPr>
              <w:t>異動所致贈之財物屬例外規定，且係以每一個人分擔之金額不超過新臺幣(下同)3,000元為準，</w:t>
            </w:r>
            <w:proofErr w:type="gramStart"/>
            <w:r w:rsidRPr="001F3796">
              <w:rPr>
                <w:rFonts w:ascii="標楷體" w:eastAsia="標楷體" w:hAnsi="標楷體" w:hint="eastAsia"/>
              </w:rPr>
              <w:t>並非該盆蘭</w:t>
            </w:r>
            <w:proofErr w:type="gramEnd"/>
            <w:r w:rsidRPr="001F3796">
              <w:rPr>
                <w:rFonts w:ascii="標楷體" w:eastAsia="標楷體" w:hAnsi="標楷體" w:hint="eastAsia"/>
              </w:rPr>
              <w:t>花之價值不得超過3</w:t>
            </w:r>
            <w:r w:rsidRPr="001F3796">
              <w:rPr>
                <w:rFonts w:ascii="標楷體" w:eastAsia="標楷體" w:hAnsi="標楷體"/>
              </w:rPr>
              <w:t>,000</w:t>
            </w:r>
            <w:r w:rsidRPr="001F3796">
              <w:rPr>
                <w:rFonts w:ascii="標楷體" w:eastAsia="標楷體" w:hAnsi="標楷體" w:hint="eastAsia"/>
              </w:rPr>
              <w:t>元。</w:t>
            </w:r>
            <w:proofErr w:type="gramStart"/>
            <w:r w:rsidRPr="001F3796">
              <w:rPr>
                <w:rFonts w:ascii="標楷體" w:eastAsia="標楷體" w:hAnsi="標楷體" w:hint="eastAsia"/>
              </w:rPr>
              <w:t>惟若</w:t>
            </w:r>
            <w:proofErr w:type="gramEnd"/>
            <w:r w:rsidRPr="001F3796">
              <w:rPr>
                <w:rFonts w:ascii="標楷體" w:eastAsia="標楷體" w:hAnsi="標楷體" w:hint="eastAsia"/>
              </w:rPr>
              <w:t>參與聯名人員</w:t>
            </w:r>
            <w:proofErr w:type="gramStart"/>
            <w:r w:rsidRPr="001F3796">
              <w:rPr>
                <w:rFonts w:ascii="標楷體" w:eastAsia="標楷體" w:hAnsi="標楷體" w:hint="eastAsia"/>
              </w:rPr>
              <w:t>眾多</w:t>
            </w:r>
            <w:proofErr w:type="gramEnd"/>
            <w:r w:rsidRPr="001F3796">
              <w:rPr>
                <w:rFonts w:ascii="標楷體" w:eastAsia="標楷體" w:hAnsi="標楷體" w:hint="eastAsia"/>
              </w:rPr>
              <w:t>，至累積金額龐大，可購買高價紀念品如金條等，雖與規範似乎無違，仍應考慮社會觀瞻，不宜贈送金額過高之紀念品。</w:t>
            </w:r>
          </w:p>
        </w:tc>
      </w:tr>
      <w:tr w:rsidR="001F3796" w:rsidRPr="001F3796" w:rsidTr="00D60798">
        <w:trPr>
          <w:jc w:val="center"/>
        </w:trPr>
        <w:tc>
          <w:tcPr>
            <w:tcW w:w="516" w:type="dxa"/>
            <w:vAlign w:val="center"/>
          </w:tcPr>
          <w:p w:rsidR="001F3796" w:rsidRPr="001F3796" w:rsidRDefault="001F3796" w:rsidP="005F5701">
            <w:pPr>
              <w:jc w:val="center"/>
              <w:rPr>
                <w:rFonts w:ascii="標楷體" w:eastAsia="標楷體" w:hAnsi="標楷體"/>
              </w:rPr>
            </w:pPr>
            <w:r w:rsidRPr="001F3796">
              <w:rPr>
                <w:rFonts w:ascii="標楷體" w:eastAsia="標楷體" w:hAnsi="標楷體" w:hint="eastAsia"/>
              </w:rPr>
              <w:t>10</w:t>
            </w:r>
          </w:p>
        </w:tc>
        <w:tc>
          <w:tcPr>
            <w:tcW w:w="3307" w:type="dxa"/>
          </w:tcPr>
          <w:p w:rsidR="001F3796" w:rsidRPr="001F3796" w:rsidRDefault="001F3796" w:rsidP="005F5701">
            <w:pPr>
              <w:spacing w:line="460" w:lineRule="exact"/>
              <w:jc w:val="both"/>
              <w:rPr>
                <w:rFonts w:ascii="標楷體" w:eastAsia="標楷體" w:hAnsi="標楷體"/>
              </w:rPr>
            </w:pPr>
            <w:r w:rsidRPr="001F3796">
              <w:rPr>
                <w:rFonts w:ascii="標楷體" w:eastAsia="標楷體" w:hAnsi="標楷體" w:hint="eastAsia"/>
              </w:rPr>
              <w:t>年底甲公司至機關各單位贈送月曆及筆記等公司宣導品，應如何處理？</w:t>
            </w:r>
          </w:p>
        </w:tc>
        <w:tc>
          <w:tcPr>
            <w:tcW w:w="6511" w:type="dxa"/>
          </w:tcPr>
          <w:p w:rsidR="001F3796" w:rsidRPr="001F3796" w:rsidRDefault="001F3796" w:rsidP="005F5701">
            <w:pPr>
              <w:spacing w:line="460" w:lineRule="exact"/>
              <w:jc w:val="both"/>
              <w:rPr>
                <w:rFonts w:ascii="標楷體" w:eastAsia="標楷體" w:hAnsi="標楷體"/>
              </w:rPr>
            </w:pPr>
            <w:r w:rsidRPr="001F3796">
              <w:rPr>
                <w:rFonts w:ascii="標楷體" w:eastAsia="標楷體" w:hAnsi="標楷體" w:hint="eastAsia"/>
              </w:rPr>
              <w:t>如價值輕微且屬企業公開宣傳及行銷性質，原則上可以收受。本府員工對於與其職務有利害關係之廠商或業者等，</w:t>
            </w:r>
            <w:proofErr w:type="gramStart"/>
            <w:r w:rsidRPr="001F3796">
              <w:rPr>
                <w:rFonts w:ascii="標楷體" w:eastAsia="標楷體" w:hAnsi="標楷體" w:hint="eastAsia"/>
              </w:rPr>
              <w:t>受贈印有</w:t>
            </w:r>
            <w:proofErr w:type="gramEnd"/>
            <w:r w:rsidRPr="001F3796">
              <w:rPr>
                <w:rFonts w:ascii="標楷體" w:eastAsia="標楷體" w:hAnsi="標楷體" w:hint="eastAsia"/>
              </w:rPr>
              <w:t>名稱(如公司、事務所、機構全銜)、聯絡方式、營業項目之月曆、行事曆或辦公日誌，該等物品屬於企業公開宣傳及形象行銷性質，且價值輕微，應無影響特定權利義務之虞，致贈對象亦不限於公務員，尚無公務員廉政倫理規範之適用。</w:t>
            </w:r>
          </w:p>
        </w:tc>
      </w:tr>
      <w:tr w:rsidR="001F3796" w:rsidRPr="001F3796" w:rsidTr="00D60798">
        <w:trPr>
          <w:trHeight w:val="3730"/>
          <w:jc w:val="center"/>
        </w:trPr>
        <w:tc>
          <w:tcPr>
            <w:tcW w:w="516" w:type="dxa"/>
            <w:vAlign w:val="center"/>
          </w:tcPr>
          <w:p w:rsidR="001F3796" w:rsidRPr="001F3796" w:rsidRDefault="001F3796" w:rsidP="005F5701">
            <w:pPr>
              <w:jc w:val="center"/>
              <w:rPr>
                <w:rFonts w:ascii="標楷體" w:eastAsia="標楷體" w:hAnsi="標楷體"/>
              </w:rPr>
            </w:pPr>
            <w:r w:rsidRPr="001F3796">
              <w:rPr>
                <w:rFonts w:ascii="標楷體" w:eastAsia="標楷體" w:hAnsi="標楷體" w:hint="eastAsia"/>
              </w:rPr>
              <w:t>11</w:t>
            </w:r>
          </w:p>
        </w:tc>
        <w:tc>
          <w:tcPr>
            <w:tcW w:w="3307" w:type="dxa"/>
          </w:tcPr>
          <w:p w:rsidR="001F3796" w:rsidRPr="001F3796" w:rsidRDefault="001F3796" w:rsidP="005F5701">
            <w:pPr>
              <w:spacing w:line="460" w:lineRule="exact"/>
              <w:jc w:val="both"/>
              <w:rPr>
                <w:rFonts w:ascii="標楷體" w:eastAsia="標楷體" w:hAnsi="標楷體"/>
              </w:rPr>
            </w:pPr>
            <w:r w:rsidRPr="001F3796">
              <w:rPr>
                <w:rFonts w:ascii="標楷體" w:eastAsia="標楷體" w:hAnsi="標楷體" w:hint="eastAsia"/>
              </w:rPr>
              <w:t>機關同仁於驗收之後會和廠商一起吃飯，如果是吃便當，可以嗎？</w:t>
            </w:r>
          </w:p>
        </w:tc>
        <w:tc>
          <w:tcPr>
            <w:tcW w:w="6511" w:type="dxa"/>
          </w:tcPr>
          <w:p w:rsidR="001F3796" w:rsidRPr="001F3796" w:rsidRDefault="001F3796" w:rsidP="005F5701">
            <w:pPr>
              <w:spacing w:line="460" w:lineRule="exact"/>
              <w:ind w:left="422" w:hangingChars="176" w:hanging="422"/>
              <w:jc w:val="both"/>
              <w:rPr>
                <w:rFonts w:ascii="標楷體" w:eastAsia="標楷體" w:hAnsi="標楷體"/>
              </w:rPr>
            </w:pPr>
            <w:r w:rsidRPr="001F3796">
              <w:rPr>
                <w:rFonts w:ascii="標楷體" w:eastAsia="標楷體" w:hAnsi="標楷體" w:hint="eastAsia"/>
              </w:rPr>
              <w:t>一、依本府員工廉政倫理規範（下稱本規範）第7點規定，本府員工不得參加與其職務有利害關係者之飲宴應酬，</w:t>
            </w:r>
            <w:proofErr w:type="gramStart"/>
            <w:r w:rsidRPr="001F3796">
              <w:rPr>
                <w:rFonts w:ascii="標楷體" w:eastAsia="標楷體" w:hAnsi="標楷體" w:hint="eastAsia"/>
              </w:rPr>
              <w:t>再者，</w:t>
            </w:r>
            <w:proofErr w:type="gramEnd"/>
            <w:r w:rsidRPr="001F3796">
              <w:rPr>
                <w:rFonts w:ascii="標楷體" w:eastAsia="標楷體" w:hAnsi="標楷體" w:hint="eastAsia"/>
              </w:rPr>
              <w:t>驗收後之飲宴應酬更易令民眾質疑其行為之公正性，自不得接受。</w:t>
            </w:r>
          </w:p>
          <w:p w:rsidR="001F3796" w:rsidRPr="001F3796" w:rsidRDefault="001F3796" w:rsidP="005F5701">
            <w:pPr>
              <w:spacing w:line="460" w:lineRule="exact"/>
              <w:ind w:left="422" w:hangingChars="176" w:hanging="422"/>
              <w:jc w:val="both"/>
              <w:rPr>
                <w:rFonts w:ascii="標楷體" w:eastAsia="標楷體" w:hAnsi="標楷體"/>
              </w:rPr>
            </w:pPr>
            <w:r w:rsidRPr="001F3796">
              <w:rPr>
                <w:rFonts w:ascii="標楷體" w:eastAsia="標楷體" w:hAnsi="標楷體" w:hint="eastAsia"/>
              </w:rPr>
              <w:t>二、另依採購人員倫理準則第9點第1項第1款規定，採購人員於無適當食宿場所之地辦理採購業務，若不接受與職務有關廠商所提供與一般工作人員同等之食宿」之招待，反有礙業務執行者，則得予接受，</w:t>
            </w:r>
            <w:proofErr w:type="gramStart"/>
            <w:r w:rsidRPr="001F3796">
              <w:rPr>
                <w:rFonts w:ascii="標楷體" w:eastAsia="標楷體" w:hAnsi="標楷體" w:hint="eastAsia"/>
              </w:rPr>
              <w:t>併予敘</w:t>
            </w:r>
            <w:proofErr w:type="gramEnd"/>
            <w:r w:rsidRPr="001F3796">
              <w:rPr>
                <w:rFonts w:ascii="標楷體" w:eastAsia="標楷體" w:hAnsi="標楷體" w:hint="eastAsia"/>
              </w:rPr>
              <w:t>明。</w:t>
            </w:r>
          </w:p>
        </w:tc>
      </w:tr>
      <w:tr w:rsidR="001F3796" w:rsidRPr="001F3796" w:rsidTr="00D60798">
        <w:trPr>
          <w:jc w:val="center"/>
        </w:trPr>
        <w:tc>
          <w:tcPr>
            <w:tcW w:w="516" w:type="dxa"/>
            <w:vAlign w:val="center"/>
          </w:tcPr>
          <w:p w:rsidR="001F3796" w:rsidRPr="001F3796" w:rsidRDefault="001F3796" w:rsidP="005F5701">
            <w:pPr>
              <w:jc w:val="center"/>
              <w:rPr>
                <w:rFonts w:ascii="標楷體" w:eastAsia="標楷體" w:hAnsi="標楷體"/>
              </w:rPr>
            </w:pPr>
            <w:r w:rsidRPr="001F3796">
              <w:rPr>
                <w:rFonts w:ascii="標楷體" w:eastAsia="標楷體" w:hAnsi="標楷體" w:hint="eastAsia"/>
              </w:rPr>
              <w:lastRenderedPageBreak/>
              <w:t>14</w:t>
            </w:r>
          </w:p>
        </w:tc>
        <w:tc>
          <w:tcPr>
            <w:tcW w:w="3307" w:type="dxa"/>
          </w:tcPr>
          <w:p w:rsidR="001F3796" w:rsidRPr="001F3796" w:rsidRDefault="001F3796" w:rsidP="005F5701">
            <w:pPr>
              <w:spacing w:line="460" w:lineRule="exact"/>
              <w:ind w:left="521" w:hangingChars="217" w:hanging="521"/>
              <w:jc w:val="both"/>
              <w:rPr>
                <w:rFonts w:ascii="標楷體" w:eastAsia="標楷體" w:hAnsi="標楷體"/>
              </w:rPr>
            </w:pPr>
            <w:r w:rsidRPr="001F3796">
              <w:rPr>
                <w:rFonts w:ascii="標楷體" w:eastAsia="標楷體" w:hAnsi="標楷體" w:hint="eastAsia"/>
              </w:rPr>
              <w:t>一、教師甄選後無教師錄取，校內人員私下請遠房親戚代課，有無違反利益衝突迴避之問題?</w:t>
            </w:r>
          </w:p>
          <w:p w:rsidR="001F3796" w:rsidRPr="001F3796" w:rsidRDefault="001F3796" w:rsidP="005F5701">
            <w:pPr>
              <w:spacing w:line="460" w:lineRule="exact"/>
              <w:ind w:left="521" w:hangingChars="217" w:hanging="521"/>
              <w:jc w:val="both"/>
              <w:rPr>
                <w:rFonts w:ascii="標楷體" w:eastAsia="標楷體" w:hAnsi="標楷體"/>
              </w:rPr>
            </w:pPr>
            <w:r w:rsidRPr="001F3796">
              <w:rPr>
                <w:rFonts w:ascii="標楷體" w:eastAsia="標楷體" w:hAnsi="標楷體" w:hint="eastAsia"/>
              </w:rPr>
              <w:t>二、教師兼任教評會委員成為授權公務員，如果收禮是否違反貪污治罪條例的規範？</w:t>
            </w:r>
          </w:p>
        </w:tc>
        <w:tc>
          <w:tcPr>
            <w:tcW w:w="6511" w:type="dxa"/>
          </w:tcPr>
          <w:p w:rsidR="001F3796" w:rsidRPr="001F3796" w:rsidRDefault="001F3796" w:rsidP="005F5701">
            <w:pPr>
              <w:spacing w:line="460" w:lineRule="exact"/>
              <w:ind w:left="422" w:hangingChars="176" w:hanging="422"/>
              <w:jc w:val="both"/>
              <w:rPr>
                <w:rFonts w:ascii="標楷體" w:eastAsia="標楷體" w:hAnsi="標楷體"/>
              </w:rPr>
            </w:pPr>
            <w:r w:rsidRPr="001F3796">
              <w:rPr>
                <w:rFonts w:ascii="標楷體" w:eastAsia="標楷體" w:hAnsi="標楷體" w:hint="eastAsia"/>
              </w:rPr>
              <w:t>一、該「校內人員」須為公職人員利益衝突迴避法第2條所稱公職人員、</w:t>
            </w:r>
            <w:proofErr w:type="gramStart"/>
            <w:r w:rsidRPr="001F3796">
              <w:rPr>
                <w:rFonts w:ascii="標楷體" w:eastAsia="標楷體" w:hAnsi="標楷體" w:hint="eastAsia"/>
              </w:rPr>
              <w:t>具裁量</w:t>
            </w:r>
            <w:proofErr w:type="gramEnd"/>
            <w:r w:rsidRPr="001F3796">
              <w:rPr>
                <w:rFonts w:ascii="標楷體" w:eastAsia="標楷體" w:hAnsi="標楷體" w:hint="eastAsia"/>
              </w:rPr>
              <w:t>權（即對於進用代課教師流程有權加以否准、退回、同意及修正等裁量空間，不以具有最後決定權為必要），及所推薦之人員為同法第3條所稱公職人員之關係人等要件，始有可能違反公職人員利益衝突迴避法。</w:t>
            </w:r>
          </w:p>
          <w:p w:rsidR="001F3796" w:rsidRPr="001F3796" w:rsidRDefault="001F3796" w:rsidP="005F5701">
            <w:pPr>
              <w:spacing w:line="460" w:lineRule="exact"/>
              <w:ind w:left="422" w:hangingChars="176" w:hanging="422"/>
              <w:jc w:val="both"/>
              <w:rPr>
                <w:rFonts w:ascii="標楷體" w:eastAsia="標楷體" w:hAnsi="標楷體"/>
              </w:rPr>
            </w:pPr>
            <w:r w:rsidRPr="001F3796">
              <w:rPr>
                <w:rFonts w:ascii="標楷體" w:eastAsia="標楷體" w:hAnsi="標楷體" w:hint="eastAsia"/>
              </w:rPr>
              <w:t>二、依司法院大法官釋字第462號解釋意旨，教師評審委員會委員應係其他依法令從事於公共事務，而具有法定職務權限之授權公務員，如於執行教師評審委員會法定職權時收受賄賂，應有貪污治罪條例之適用。至所稱「收禮」部分，應先依據「本府員工廉政倫理規範」相關規定處理為宜。</w:t>
            </w:r>
          </w:p>
        </w:tc>
      </w:tr>
      <w:tr w:rsidR="001F3796" w:rsidRPr="001F3796" w:rsidTr="00D60798">
        <w:trPr>
          <w:jc w:val="center"/>
        </w:trPr>
        <w:tc>
          <w:tcPr>
            <w:tcW w:w="516" w:type="dxa"/>
            <w:vAlign w:val="center"/>
          </w:tcPr>
          <w:p w:rsidR="001F3796" w:rsidRPr="001F3796" w:rsidRDefault="001F3796" w:rsidP="005F5701">
            <w:pPr>
              <w:jc w:val="center"/>
              <w:rPr>
                <w:rFonts w:ascii="標楷體" w:eastAsia="標楷體" w:hAnsi="標楷體"/>
              </w:rPr>
            </w:pPr>
            <w:r w:rsidRPr="001F3796">
              <w:rPr>
                <w:rFonts w:ascii="標楷體" w:eastAsia="標楷體" w:hAnsi="標楷體" w:hint="eastAsia"/>
              </w:rPr>
              <w:t>18</w:t>
            </w:r>
          </w:p>
        </w:tc>
        <w:tc>
          <w:tcPr>
            <w:tcW w:w="3307" w:type="dxa"/>
          </w:tcPr>
          <w:p w:rsidR="001F3796" w:rsidRPr="001F3796" w:rsidRDefault="001F3796" w:rsidP="005F5701">
            <w:pPr>
              <w:spacing w:line="460" w:lineRule="exact"/>
              <w:jc w:val="both"/>
              <w:rPr>
                <w:rFonts w:ascii="標楷體" w:eastAsia="標楷體" w:hAnsi="標楷體"/>
              </w:rPr>
            </w:pPr>
            <w:r w:rsidRPr="001F3796">
              <w:rPr>
                <w:rFonts w:ascii="標楷體" w:eastAsia="標楷體" w:hAnsi="標楷體" w:hint="eastAsia"/>
              </w:rPr>
              <w:t>如機關內同仁受刑事偵查或證人作證，是否需要通報政風處？通報方式及內容為何？</w:t>
            </w:r>
            <w:r w:rsidRPr="001F3796">
              <w:rPr>
                <w:rFonts w:ascii="標楷體" w:eastAsia="標楷體" w:hAnsi="標楷體"/>
              </w:rPr>
              <w:t xml:space="preserve"> </w:t>
            </w:r>
          </w:p>
        </w:tc>
        <w:tc>
          <w:tcPr>
            <w:tcW w:w="6511" w:type="dxa"/>
          </w:tcPr>
          <w:p w:rsidR="001F3796" w:rsidRPr="001F3796" w:rsidRDefault="001F3796" w:rsidP="005F5701">
            <w:pPr>
              <w:spacing w:line="460" w:lineRule="exact"/>
              <w:jc w:val="both"/>
              <w:rPr>
                <w:rFonts w:ascii="標楷體" w:eastAsia="標楷體" w:hAnsi="標楷體"/>
              </w:rPr>
            </w:pPr>
            <w:r w:rsidRPr="001F3796">
              <w:rPr>
                <w:rFonts w:ascii="標楷體" w:eastAsia="標楷體" w:hAnsi="標楷體" w:hint="eastAsia"/>
              </w:rPr>
              <w:t>請兼辦政風業務人員於知悉機關內同仁受刑事偵查或證人作證時主動通報。若為二級機關可通報至一級機關政風室，若為一級機關可通報至政風處。另通報方式則未嚴格要求形式，僅須告知傳票或通知書記載之內容，例如傳訊之案由、時間及身分。</w:t>
            </w:r>
          </w:p>
        </w:tc>
      </w:tr>
      <w:tr w:rsidR="001F3796" w:rsidRPr="001F3796" w:rsidTr="00D60798">
        <w:trPr>
          <w:jc w:val="center"/>
        </w:trPr>
        <w:tc>
          <w:tcPr>
            <w:tcW w:w="516" w:type="dxa"/>
            <w:vAlign w:val="center"/>
          </w:tcPr>
          <w:p w:rsidR="001F3796" w:rsidRPr="001F3796" w:rsidRDefault="001F3796" w:rsidP="005F5701">
            <w:pPr>
              <w:jc w:val="center"/>
              <w:rPr>
                <w:rFonts w:ascii="標楷體" w:eastAsia="標楷體" w:hAnsi="標楷體"/>
              </w:rPr>
            </w:pPr>
            <w:r w:rsidRPr="001F3796">
              <w:rPr>
                <w:rFonts w:ascii="標楷體" w:eastAsia="標楷體" w:hAnsi="標楷體" w:hint="eastAsia"/>
              </w:rPr>
              <w:t>20</w:t>
            </w:r>
          </w:p>
        </w:tc>
        <w:tc>
          <w:tcPr>
            <w:tcW w:w="3307" w:type="dxa"/>
          </w:tcPr>
          <w:p w:rsidR="001F3796" w:rsidRPr="001F3796" w:rsidRDefault="001F3796" w:rsidP="005F5701">
            <w:pPr>
              <w:spacing w:line="460" w:lineRule="exact"/>
              <w:jc w:val="both"/>
              <w:rPr>
                <w:rFonts w:ascii="標楷體" w:eastAsia="標楷體" w:hAnsi="標楷體"/>
              </w:rPr>
            </w:pPr>
            <w:r w:rsidRPr="001F3796">
              <w:rPr>
                <w:rFonts w:ascii="標楷體" w:eastAsia="標楷體" w:hAnsi="標楷體" w:hint="eastAsia"/>
              </w:rPr>
              <w:t>當機關發生洩密情事時，兼辦政風業務人員應如何處理?</w:t>
            </w:r>
          </w:p>
        </w:tc>
        <w:tc>
          <w:tcPr>
            <w:tcW w:w="6511" w:type="dxa"/>
          </w:tcPr>
          <w:p w:rsidR="001F3796" w:rsidRPr="001F3796" w:rsidRDefault="001F3796" w:rsidP="005F5701">
            <w:pPr>
              <w:spacing w:line="460" w:lineRule="exact"/>
              <w:jc w:val="both"/>
              <w:rPr>
                <w:rFonts w:ascii="標楷體" w:eastAsia="標楷體" w:hAnsi="標楷體"/>
              </w:rPr>
            </w:pPr>
            <w:r w:rsidRPr="001F3796">
              <w:rPr>
                <w:rFonts w:ascii="標楷體" w:eastAsia="標楷體" w:hAnsi="標楷體" w:hint="eastAsia"/>
              </w:rPr>
              <w:t>依本府所屬各機關學校兼辦政風業務人員管理要點規定，就洩密案件請兼辦政風業務人員扮演聯繫、通報角色，若機關發生洩密案件時，請將情形</w:t>
            </w:r>
            <w:proofErr w:type="gramStart"/>
            <w:r w:rsidRPr="001F3796">
              <w:rPr>
                <w:rFonts w:ascii="標楷體" w:eastAsia="標楷體" w:hAnsi="標楷體" w:hint="eastAsia"/>
              </w:rPr>
              <w:t>通報給政風</w:t>
            </w:r>
            <w:proofErr w:type="gramEnd"/>
            <w:r w:rsidRPr="001F3796">
              <w:rPr>
                <w:rFonts w:ascii="標楷體" w:eastAsia="標楷體" w:hAnsi="標楷體" w:hint="eastAsia"/>
              </w:rPr>
              <w:t>處或一級機關政風室，兼辦政風業務人員無需辦理實際查察之工作。</w:t>
            </w:r>
          </w:p>
        </w:tc>
      </w:tr>
    </w:tbl>
    <w:p w:rsidR="001F3796" w:rsidRPr="001F3796" w:rsidRDefault="001F3796">
      <w:pPr>
        <w:rPr>
          <w:rFonts w:ascii="標楷體" w:eastAsia="標楷體" w:hAnsi="標楷體"/>
        </w:rPr>
      </w:pPr>
    </w:p>
    <w:sectPr w:rsidR="001F3796" w:rsidRPr="001F3796" w:rsidSect="00D6079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796" w:rsidRDefault="001F3796" w:rsidP="001F3796">
      <w:r>
        <w:separator/>
      </w:r>
    </w:p>
  </w:endnote>
  <w:endnote w:type="continuationSeparator" w:id="0">
    <w:p w:rsidR="001F3796" w:rsidRDefault="001F3796" w:rsidP="001F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796" w:rsidRDefault="001F3796" w:rsidP="001F3796">
      <w:r>
        <w:separator/>
      </w:r>
    </w:p>
  </w:footnote>
  <w:footnote w:type="continuationSeparator" w:id="0">
    <w:p w:rsidR="001F3796" w:rsidRDefault="001F3796" w:rsidP="001F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32666"/>
    <w:multiLevelType w:val="hybridMultilevel"/>
    <w:tmpl w:val="FF54BD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96"/>
    <w:rsid w:val="000330BF"/>
    <w:rsid w:val="000E53E9"/>
    <w:rsid w:val="001F3796"/>
    <w:rsid w:val="00370643"/>
    <w:rsid w:val="004549D1"/>
    <w:rsid w:val="00C533DC"/>
    <w:rsid w:val="00D60798"/>
    <w:rsid w:val="00DF14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88BC"/>
  <w15:chartTrackingRefBased/>
  <w15:docId w15:val="{77A9A59C-807A-4693-AC2A-2C75191A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3796"/>
    <w:pPr>
      <w:tabs>
        <w:tab w:val="center" w:pos="4153"/>
        <w:tab w:val="right" w:pos="8306"/>
      </w:tabs>
      <w:snapToGrid w:val="0"/>
    </w:pPr>
    <w:rPr>
      <w:sz w:val="20"/>
      <w:szCs w:val="20"/>
    </w:rPr>
  </w:style>
  <w:style w:type="character" w:customStyle="1" w:styleId="a5">
    <w:name w:val="頁首 字元"/>
    <w:basedOn w:val="a0"/>
    <w:link w:val="a4"/>
    <w:uiPriority w:val="99"/>
    <w:rsid w:val="001F3796"/>
    <w:rPr>
      <w:sz w:val="20"/>
      <w:szCs w:val="20"/>
    </w:rPr>
  </w:style>
  <w:style w:type="paragraph" w:styleId="a6">
    <w:name w:val="footer"/>
    <w:basedOn w:val="a"/>
    <w:link w:val="a7"/>
    <w:uiPriority w:val="99"/>
    <w:unhideWhenUsed/>
    <w:rsid w:val="001F3796"/>
    <w:pPr>
      <w:tabs>
        <w:tab w:val="center" w:pos="4153"/>
        <w:tab w:val="right" w:pos="8306"/>
      </w:tabs>
      <w:snapToGrid w:val="0"/>
    </w:pPr>
    <w:rPr>
      <w:sz w:val="20"/>
      <w:szCs w:val="20"/>
    </w:rPr>
  </w:style>
  <w:style w:type="character" w:customStyle="1" w:styleId="a7">
    <w:name w:val="頁尾 字元"/>
    <w:basedOn w:val="a0"/>
    <w:link w:val="a6"/>
    <w:uiPriority w:val="99"/>
    <w:rsid w:val="001F3796"/>
    <w:rPr>
      <w:sz w:val="20"/>
      <w:szCs w:val="20"/>
    </w:rPr>
  </w:style>
  <w:style w:type="paragraph" w:styleId="a8">
    <w:name w:val="List Paragraph"/>
    <w:basedOn w:val="a"/>
    <w:uiPriority w:val="34"/>
    <w:qFormat/>
    <w:rsid w:val="00D6079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2020-01-07T07:17:00Z</dcterms:created>
  <dcterms:modified xsi:type="dcterms:W3CDTF">2020-01-07T08:13:00Z</dcterms:modified>
</cp:coreProperties>
</file>